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EA" w:rsidRPr="001100EA" w:rsidRDefault="001100EA" w:rsidP="001100EA">
      <w:pPr>
        <w:spacing w:before="150" w:after="150" w:line="450" w:lineRule="atLeast"/>
        <w:outlineLvl w:val="0"/>
        <w:rPr>
          <w:rFonts w:ascii="Times New Roman" w:eastAsia="Times New Roman" w:hAnsi="Times New Roman" w:cs="Times New Roman"/>
          <w:b/>
          <w:kern w:val="36"/>
          <w:sz w:val="32"/>
          <w:szCs w:val="42"/>
        </w:rPr>
      </w:pPr>
      <w:bookmarkStart w:id="0" w:name="_GoBack"/>
      <w:bookmarkEnd w:id="0"/>
      <w:r>
        <w:rPr>
          <w:rFonts w:ascii="Times New Roman" w:eastAsia="Times New Roman" w:hAnsi="Times New Roman" w:cs="Times New Roman"/>
          <w:b/>
          <w:kern w:val="36"/>
          <w:sz w:val="32"/>
          <w:szCs w:val="42"/>
        </w:rPr>
        <w:t xml:space="preserve">           </w:t>
      </w:r>
      <w:r w:rsidRPr="001100EA">
        <w:rPr>
          <w:rFonts w:ascii="Times New Roman" w:eastAsia="Times New Roman" w:hAnsi="Times New Roman" w:cs="Times New Roman"/>
          <w:b/>
          <w:kern w:val="36"/>
          <w:sz w:val="32"/>
          <w:szCs w:val="42"/>
        </w:rPr>
        <w:t xml:space="preserve">Chế độ </w:t>
      </w:r>
      <w:proofErr w:type="gramStart"/>
      <w:r w:rsidRPr="001100EA">
        <w:rPr>
          <w:rFonts w:ascii="Times New Roman" w:eastAsia="Times New Roman" w:hAnsi="Times New Roman" w:cs="Times New Roman"/>
          <w:b/>
          <w:kern w:val="36"/>
          <w:sz w:val="32"/>
          <w:szCs w:val="42"/>
        </w:rPr>
        <w:t>thai</w:t>
      </w:r>
      <w:proofErr w:type="gramEnd"/>
      <w:r w:rsidRPr="001100EA">
        <w:rPr>
          <w:rFonts w:ascii="Times New Roman" w:eastAsia="Times New Roman" w:hAnsi="Times New Roman" w:cs="Times New Roman"/>
          <w:b/>
          <w:kern w:val="36"/>
          <w:sz w:val="32"/>
          <w:szCs w:val="42"/>
        </w:rPr>
        <w:t xml:space="preserve"> sản 2019: Thông tin cần biết khi sinh con</w:t>
      </w:r>
    </w:p>
    <w:p w:rsidR="001100EA" w:rsidRDefault="001100EA" w:rsidP="001100EA">
      <w:pPr>
        <w:spacing w:after="0" w:line="330" w:lineRule="atLeast"/>
        <w:rPr>
          <w:rFonts w:ascii="Times New Roman" w:eastAsia="Times New Roman" w:hAnsi="Times New Roman" w:cs="Arial"/>
          <w:b/>
          <w:bCs/>
          <w:color w:val="222222"/>
          <w:sz w:val="26"/>
          <w:szCs w:val="24"/>
        </w:rPr>
      </w:pPr>
      <w:r w:rsidRPr="001100EA">
        <w:rPr>
          <w:rFonts w:ascii="Times New Roman" w:eastAsia="Times New Roman" w:hAnsi="Times New Roman" w:cs="Arial"/>
          <w:b/>
          <w:bCs/>
          <w:color w:val="222222"/>
          <w:sz w:val="26"/>
          <w:szCs w:val="24"/>
        </w:rPr>
        <w:t>Con cái là tài sản quý giá nhất của mỗi người cha, người mẹ. Chính vì vậy, trong năm nay, nếu muốn sinh con, mỗi cặp vợ chồng không nên bỏ qua chế độ thai sản 2019 mà pháp luật dành cho mình.</w:t>
      </w:r>
    </w:p>
    <w:p w:rsidR="001100EA" w:rsidRPr="001100EA" w:rsidRDefault="001100EA" w:rsidP="001100EA">
      <w:pPr>
        <w:spacing w:after="0" w:line="330" w:lineRule="atLeast"/>
        <w:rPr>
          <w:rFonts w:ascii="Times New Roman" w:eastAsia="Times New Roman" w:hAnsi="Times New Roman" w:cs="Arial"/>
          <w:b/>
          <w:bCs/>
          <w:color w:val="222222"/>
          <w:sz w:val="26"/>
          <w:szCs w:val="24"/>
        </w:rPr>
      </w:pPr>
      <w:r w:rsidRPr="001100EA">
        <w:rPr>
          <w:rFonts w:ascii="Times New Roman" w:eastAsia="Times New Roman" w:hAnsi="Times New Roman" w:cs="Arial"/>
          <w:noProof/>
          <w:color w:val="222222"/>
          <w:sz w:val="26"/>
          <w:szCs w:val="21"/>
        </w:rPr>
        <w:drawing>
          <wp:inline distT="0" distB="0" distL="0" distR="0" wp14:anchorId="672B98B0" wp14:editId="0E8D7946">
            <wp:extent cx="5943600" cy="3343275"/>
            <wp:effectExtent l="0" t="0" r="0" b="9525"/>
            <wp:docPr id="4" name="Picture 4" descr="Mức hưởng chế độ thai sả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ức hưởng chế độ thai sản 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1100EA" w:rsidRPr="001100EA" w:rsidRDefault="001100EA" w:rsidP="001100EA">
      <w:pPr>
        <w:shd w:val="clear" w:color="auto" w:fill="FFFFFF"/>
        <w:spacing w:after="0" w:line="360" w:lineRule="atLeast"/>
        <w:outlineLvl w:val="1"/>
        <w:rPr>
          <w:rFonts w:ascii="Times New Roman" w:eastAsia="Times New Roman" w:hAnsi="Times New Roman" w:cs="Arial"/>
          <w:b/>
          <w:bCs/>
          <w:color w:val="222222"/>
          <w:sz w:val="26"/>
          <w:szCs w:val="36"/>
        </w:rPr>
      </w:pPr>
      <w:r w:rsidRPr="001100EA">
        <w:rPr>
          <w:rFonts w:ascii="Times New Roman" w:eastAsia="Times New Roman" w:hAnsi="Times New Roman" w:cs="Arial"/>
          <w:b/>
          <w:bCs/>
          <w:color w:val="222222"/>
          <w:sz w:val="26"/>
          <w:szCs w:val="21"/>
        </w:rPr>
        <w:t xml:space="preserve">1. Chế độ </w:t>
      </w:r>
      <w:proofErr w:type="gramStart"/>
      <w:r w:rsidRPr="001100EA">
        <w:rPr>
          <w:rFonts w:ascii="Times New Roman" w:eastAsia="Times New Roman" w:hAnsi="Times New Roman" w:cs="Arial"/>
          <w:b/>
          <w:bCs/>
          <w:color w:val="222222"/>
          <w:sz w:val="26"/>
          <w:szCs w:val="21"/>
        </w:rPr>
        <w:t>thai</w:t>
      </w:r>
      <w:proofErr w:type="gramEnd"/>
      <w:r w:rsidRPr="001100EA">
        <w:rPr>
          <w:rFonts w:ascii="Times New Roman" w:eastAsia="Times New Roman" w:hAnsi="Times New Roman" w:cs="Arial"/>
          <w:b/>
          <w:bCs/>
          <w:color w:val="222222"/>
          <w:sz w:val="26"/>
          <w:szCs w:val="21"/>
        </w:rPr>
        <w:t xml:space="preserve"> sản dành cho ai?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Theo quy định tại Điều 31 </w:t>
      </w:r>
      <w:hyperlink r:id="rId7" w:anchor="noidung" w:history="1">
        <w:r w:rsidRPr="001100EA">
          <w:rPr>
            <w:rFonts w:ascii="Times New Roman" w:eastAsia="Times New Roman" w:hAnsi="Times New Roman" w:cs="Arial"/>
            <w:color w:val="A67942"/>
            <w:sz w:val="26"/>
            <w:szCs w:val="21"/>
            <w:u w:val="single"/>
          </w:rPr>
          <w:t>Luật Bảo hiểm xã hội 2014</w:t>
        </w:r>
      </w:hyperlink>
      <w:r w:rsidRPr="001100EA">
        <w:rPr>
          <w:rFonts w:ascii="Times New Roman" w:eastAsia="Times New Roman" w:hAnsi="Times New Roman" w:cs="Arial"/>
          <w:color w:val="222222"/>
          <w:sz w:val="26"/>
          <w:szCs w:val="21"/>
        </w:rPr>
        <w:t xml:space="preserve">,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w:t>
      </w:r>
      <w:hyperlink r:id="rId8" w:history="1">
        <w:r w:rsidRPr="001100EA">
          <w:rPr>
            <w:rFonts w:ascii="Times New Roman" w:eastAsia="Times New Roman" w:hAnsi="Times New Roman" w:cs="Arial"/>
            <w:color w:val="A67942"/>
            <w:sz w:val="26"/>
            <w:szCs w:val="21"/>
            <w:u w:val="single"/>
          </w:rPr>
          <w:t>tham gia BHXH</w:t>
        </w:r>
      </w:hyperlink>
      <w:r w:rsidRPr="001100EA">
        <w:rPr>
          <w:rFonts w:ascii="Times New Roman" w:eastAsia="Times New Roman" w:hAnsi="Times New Roman" w:cs="Arial"/>
          <w:color w:val="222222"/>
          <w:sz w:val="26"/>
          <w:szCs w:val="21"/>
        </w:rPr>
        <w:t> bắt buộc được hưởng chế độ thai sản khi: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Lao động nữ mang </w:t>
      </w:r>
      <w:proofErr w:type="gramStart"/>
      <w:r w:rsidRPr="001100EA">
        <w:rPr>
          <w:rFonts w:ascii="Times New Roman" w:eastAsia="Times New Roman" w:hAnsi="Times New Roman" w:cs="Arial"/>
          <w:color w:val="222222"/>
          <w:sz w:val="26"/>
          <w:szCs w:val="21"/>
        </w:rPr>
        <w:t>thai</w:t>
      </w:r>
      <w:proofErr w:type="gramEnd"/>
      <w:r w:rsidRPr="001100EA">
        <w:rPr>
          <w:rFonts w:ascii="Times New Roman" w:eastAsia="Times New Roman" w:hAnsi="Times New Roman" w:cs="Arial"/>
          <w:color w:val="222222"/>
          <w:sz w:val="26"/>
          <w:szCs w:val="21"/>
        </w:rPr>
        <w:t>;</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Lao động nữ sinh con;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Lao động nữ </w:t>
      </w:r>
      <w:hyperlink r:id="rId9" w:history="1">
        <w:r w:rsidRPr="001100EA">
          <w:rPr>
            <w:rFonts w:ascii="Times New Roman" w:eastAsia="Times New Roman" w:hAnsi="Times New Roman" w:cs="Arial"/>
            <w:color w:val="A67942"/>
            <w:sz w:val="26"/>
            <w:szCs w:val="21"/>
            <w:u w:val="single"/>
          </w:rPr>
          <w:t xml:space="preserve">mang </w:t>
        </w:r>
        <w:proofErr w:type="gramStart"/>
        <w:r w:rsidRPr="001100EA">
          <w:rPr>
            <w:rFonts w:ascii="Times New Roman" w:eastAsia="Times New Roman" w:hAnsi="Times New Roman" w:cs="Arial"/>
            <w:color w:val="A67942"/>
            <w:sz w:val="26"/>
            <w:szCs w:val="21"/>
            <w:u w:val="single"/>
          </w:rPr>
          <w:t>thai</w:t>
        </w:r>
        <w:proofErr w:type="gramEnd"/>
        <w:r w:rsidRPr="001100EA">
          <w:rPr>
            <w:rFonts w:ascii="Times New Roman" w:eastAsia="Times New Roman" w:hAnsi="Times New Roman" w:cs="Arial"/>
            <w:color w:val="A67942"/>
            <w:sz w:val="26"/>
            <w:szCs w:val="21"/>
            <w:u w:val="single"/>
          </w:rPr>
          <w:t xml:space="preserve"> hộ</w:t>
        </w:r>
      </w:hyperlink>
      <w:r w:rsidRPr="001100EA">
        <w:rPr>
          <w:rFonts w:ascii="Times New Roman" w:eastAsia="Times New Roman" w:hAnsi="Times New Roman" w:cs="Arial"/>
          <w:color w:val="222222"/>
          <w:sz w:val="26"/>
          <w:szCs w:val="21"/>
        </w:rPr>
        <w:t> và người mẹ nhờ mang thai hộ;</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nhận con nuôi dưới 06 tháng tuổi;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Lao động nữ đặt vòng tránh </w:t>
      </w:r>
      <w:proofErr w:type="gramStart"/>
      <w:r w:rsidRPr="001100EA">
        <w:rPr>
          <w:rFonts w:ascii="Times New Roman" w:eastAsia="Times New Roman" w:hAnsi="Times New Roman" w:cs="Arial"/>
          <w:color w:val="222222"/>
          <w:sz w:val="26"/>
          <w:szCs w:val="21"/>
        </w:rPr>
        <w:t>thai</w:t>
      </w:r>
      <w:proofErr w:type="gramEnd"/>
      <w:r w:rsidRPr="001100EA">
        <w:rPr>
          <w:rFonts w:ascii="Times New Roman" w:eastAsia="Times New Roman" w:hAnsi="Times New Roman" w:cs="Arial"/>
          <w:color w:val="222222"/>
          <w:sz w:val="26"/>
          <w:szCs w:val="21"/>
        </w:rPr>
        <w:t>, triệt sản;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Lao động nam đang đóng BHXH có vợ sinh con.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Tuy nhiên, cần lưu ý về </w:t>
      </w:r>
      <w:hyperlink r:id="rId10" w:history="1">
        <w:r w:rsidRPr="001100EA">
          <w:rPr>
            <w:rFonts w:ascii="Times New Roman" w:eastAsia="Times New Roman" w:hAnsi="Times New Roman" w:cs="Arial"/>
            <w:color w:val="A67942"/>
            <w:sz w:val="26"/>
            <w:szCs w:val="21"/>
            <w:u w:val="single"/>
          </w:rPr>
          <w:t>thời gian tham gia</w:t>
        </w:r>
      </w:hyperlink>
      <w:r w:rsidRPr="001100EA">
        <w:rPr>
          <w:rFonts w:ascii="Times New Roman" w:eastAsia="Times New Roman" w:hAnsi="Times New Roman" w:cs="Arial"/>
          <w:color w:val="222222"/>
          <w:sz w:val="26"/>
          <w:szCs w:val="21"/>
        </w:rPr>
        <w:t> để được hưởng chế độ này của một số đối tượng:</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Lao động nữ sinh con, nuôi con nuôi dưới 06 tháng tuổi hay người mang thai hộ và người nhờ mang thai hộ phải đóng BHXH từ đủ 06 tháng trở lên trong 12 tháng trước khi sinh hoặc nhận nuôi con nuôi.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lastRenderedPageBreak/>
        <w:t>- Lao động nữ sinh con đã đóng BHXH từ đủ 12 tháng trở lên mà khi mang thai phải nghỉ việc để dưỡng thai theo chỉ định của bác sĩ thì phải đóng BHXH từ đủ 03 tháng trở lên trong 12 tháng trước khi sinh.</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Ngoài ra, người lao động đáp ứng đủ các điều kiện nêu trên mà chấm dứt hợp đồng lao động hoặc thôi việc trước khi sinh hoặc nhận con nuôi dưới 06 tháng tuổi thì vẫn được hưởng chế độ này.</w:t>
      </w:r>
    </w:p>
    <w:p w:rsidR="001100EA" w:rsidRPr="001100EA" w:rsidRDefault="001100EA" w:rsidP="001100EA">
      <w:pPr>
        <w:shd w:val="clear" w:color="auto" w:fill="FFFFFF"/>
        <w:spacing w:after="0" w:line="360" w:lineRule="atLeast"/>
        <w:outlineLvl w:val="1"/>
        <w:rPr>
          <w:rFonts w:ascii="Times New Roman" w:eastAsia="Times New Roman" w:hAnsi="Times New Roman" w:cs="Arial"/>
          <w:b/>
          <w:bCs/>
          <w:color w:val="222222"/>
          <w:sz w:val="26"/>
          <w:szCs w:val="36"/>
        </w:rPr>
      </w:pPr>
      <w:r w:rsidRPr="001100EA">
        <w:rPr>
          <w:rFonts w:ascii="Times New Roman" w:eastAsia="Times New Roman" w:hAnsi="Times New Roman" w:cs="Arial"/>
          <w:b/>
          <w:bCs/>
          <w:color w:val="222222"/>
          <w:sz w:val="26"/>
          <w:szCs w:val="21"/>
        </w:rPr>
        <w:t xml:space="preserve">2. Cách tính chế độ </w:t>
      </w:r>
      <w:proofErr w:type="gramStart"/>
      <w:r w:rsidRPr="001100EA">
        <w:rPr>
          <w:rFonts w:ascii="Times New Roman" w:eastAsia="Times New Roman" w:hAnsi="Times New Roman" w:cs="Arial"/>
          <w:b/>
          <w:bCs/>
          <w:color w:val="222222"/>
          <w:sz w:val="26"/>
          <w:szCs w:val="21"/>
        </w:rPr>
        <w:t>thai</w:t>
      </w:r>
      <w:proofErr w:type="gramEnd"/>
      <w:r w:rsidRPr="001100EA">
        <w:rPr>
          <w:rFonts w:ascii="Times New Roman" w:eastAsia="Times New Roman" w:hAnsi="Times New Roman" w:cs="Arial"/>
          <w:b/>
          <w:bCs/>
          <w:color w:val="222222"/>
          <w:sz w:val="26"/>
          <w:szCs w:val="21"/>
        </w:rPr>
        <w:t xml:space="preserve"> sản 2019</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Nhằm bảo vệ sức khỏe và </w:t>
      </w:r>
      <w:proofErr w:type="gramStart"/>
      <w:r w:rsidRPr="001100EA">
        <w:rPr>
          <w:rFonts w:ascii="Times New Roman" w:eastAsia="Times New Roman" w:hAnsi="Times New Roman" w:cs="Arial"/>
          <w:color w:val="222222"/>
          <w:sz w:val="26"/>
          <w:szCs w:val="21"/>
        </w:rPr>
        <w:t>thu</w:t>
      </w:r>
      <w:proofErr w:type="gramEnd"/>
      <w:r w:rsidRPr="001100EA">
        <w:rPr>
          <w:rFonts w:ascii="Times New Roman" w:eastAsia="Times New Roman" w:hAnsi="Times New Roman" w:cs="Arial"/>
          <w:color w:val="222222"/>
          <w:sz w:val="26"/>
          <w:szCs w:val="21"/>
        </w:rPr>
        <w:t xml:space="preserve"> nhập cho lao động nữ khi thực hiện thiên chức làm mẹ, pháp luật tạo điều kiện tối đa để lao động nữ được hưởng trọn quyền lợi này bằng việc được nghỉ làm và nhận tiền thai sản.</w:t>
      </w:r>
    </w:p>
    <w:p w:rsidR="001100EA" w:rsidRPr="001100EA" w:rsidRDefault="001100EA" w:rsidP="001100EA">
      <w:pPr>
        <w:shd w:val="clear" w:color="auto" w:fill="FFFFFF"/>
        <w:spacing w:after="0" w:line="360" w:lineRule="atLeast"/>
        <w:outlineLvl w:val="2"/>
        <w:rPr>
          <w:rFonts w:ascii="Times New Roman" w:eastAsia="Times New Roman" w:hAnsi="Times New Roman" w:cs="Arial"/>
          <w:b/>
          <w:bCs/>
          <w:color w:val="222222"/>
          <w:sz w:val="26"/>
          <w:szCs w:val="27"/>
        </w:rPr>
      </w:pPr>
      <w:r w:rsidRPr="001100EA">
        <w:rPr>
          <w:rFonts w:ascii="Times New Roman" w:eastAsia="Times New Roman" w:hAnsi="Times New Roman" w:cs="Arial"/>
          <w:b/>
          <w:bCs/>
          <w:i/>
          <w:iCs/>
          <w:color w:val="222222"/>
          <w:sz w:val="26"/>
          <w:szCs w:val="21"/>
        </w:rPr>
        <w:t xml:space="preserve">Cách tính chế độ nghỉ </w:t>
      </w:r>
      <w:proofErr w:type="gramStart"/>
      <w:r w:rsidRPr="001100EA">
        <w:rPr>
          <w:rFonts w:ascii="Times New Roman" w:eastAsia="Times New Roman" w:hAnsi="Times New Roman" w:cs="Arial"/>
          <w:b/>
          <w:bCs/>
          <w:i/>
          <w:iCs/>
          <w:color w:val="222222"/>
          <w:sz w:val="26"/>
          <w:szCs w:val="21"/>
        </w:rPr>
        <w:t>thai</w:t>
      </w:r>
      <w:proofErr w:type="gramEnd"/>
      <w:r w:rsidRPr="001100EA">
        <w:rPr>
          <w:rFonts w:ascii="Times New Roman" w:eastAsia="Times New Roman" w:hAnsi="Times New Roman" w:cs="Arial"/>
          <w:b/>
          <w:bCs/>
          <w:i/>
          <w:iCs/>
          <w:color w:val="222222"/>
          <w:sz w:val="26"/>
          <w:szCs w:val="21"/>
        </w:rPr>
        <w:t xml:space="preserve"> sản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Tùy vào từng </w:t>
      </w:r>
      <w:hyperlink r:id="rId11" w:history="1">
        <w:r w:rsidRPr="001100EA">
          <w:rPr>
            <w:rFonts w:ascii="Times New Roman" w:eastAsia="Times New Roman" w:hAnsi="Times New Roman" w:cs="Arial"/>
            <w:color w:val="A67942"/>
            <w:sz w:val="26"/>
            <w:szCs w:val="21"/>
            <w:u w:val="single"/>
          </w:rPr>
          <w:t xml:space="preserve">giai đoạn của </w:t>
        </w:r>
        <w:proofErr w:type="gramStart"/>
        <w:r w:rsidRPr="001100EA">
          <w:rPr>
            <w:rFonts w:ascii="Times New Roman" w:eastAsia="Times New Roman" w:hAnsi="Times New Roman" w:cs="Arial"/>
            <w:color w:val="A67942"/>
            <w:sz w:val="26"/>
            <w:szCs w:val="21"/>
            <w:u w:val="single"/>
          </w:rPr>
          <w:t>thai</w:t>
        </w:r>
        <w:proofErr w:type="gramEnd"/>
        <w:r w:rsidRPr="001100EA">
          <w:rPr>
            <w:rFonts w:ascii="Times New Roman" w:eastAsia="Times New Roman" w:hAnsi="Times New Roman" w:cs="Arial"/>
            <w:color w:val="A67942"/>
            <w:sz w:val="26"/>
            <w:szCs w:val="21"/>
            <w:u w:val="single"/>
          </w:rPr>
          <w:t xml:space="preserve"> kỳ</w:t>
        </w:r>
      </w:hyperlink>
      <w:r w:rsidRPr="001100EA">
        <w:rPr>
          <w:rFonts w:ascii="Times New Roman" w:eastAsia="Times New Roman" w:hAnsi="Times New Roman" w:cs="Arial"/>
          <w:color w:val="222222"/>
          <w:sz w:val="26"/>
          <w:szCs w:val="21"/>
        </w:rPr>
        <w:t> mà lao động nữ sẽ được nghỉ những ngày khác nhau. Cụ thể:</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Khi có </w:t>
      </w:r>
      <w:proofErr w:type="gramStart"/>
      <w:r w:rsidRPr="001100EA">
        <w:rPr>
          <w:rFonts w:ascii="Times New Roman" w:eastAsia="Times New Roman" w:hAnsi="Times New Roman" w:cs="Arial"/>
          <w:color w:val="222222"/>
          <w:sz w:val="26"/>
          <w:szCs w:val="21"/>
        </w:rPr>
        <w:t>thai</w:t>
      </w:r>
      <w:proofErr w:type="gramEnd"/>
      <w:r w:rsidRPr="001100EA">
        <w:rPr>
          <w:rFonts w:ascii="Times New Roman" w:eastAsia="Times New Roman" w:hAnsi="Times New Roman" w:cs="Arial"/>
          <w:color w:val="222222"/>
          <w:sz w:val="26"/>
          <w:szCs w:val="21"/>
        </w:rPr>
        <w:t>: nghỉ 05 ngày cho 05 lần đi khám thai;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Khi </w:t>
      </w:r>
      <w:proofErr w:type="gramStart"/>
      <w:r w:rsidRPr="001100EA">
        <w:rPr>
          <w:rFonts w:ascii="Times New Roman" w:eastAsia="Times New Roman" w:hAnsi="Times New Roman" w:cs="Arial"/>
          <w:color w:val="222222"/>
          <w:sz w:val="26"/>
          <w:szCs w:val="21"/>
        </w:rPr>
        <w:t>thai</w:t>
      </w:r>
      <w:proofErr w:type="gramEnd"/>
      <w:r w:rsidRPr="001100EA">
        <w:rPr>
          <w:rFonts w:ascii="Times New Roman" w:eastAsia="Times New Roman" w:hAnsi="Times New Roman" w:cs="Arial"/>
          <w:color w:val="222222"/>
          <w:sz w:val="26"/>
          <w:szCs w:val="21"/>
        </w:rPr>
        <w:t xml:space="preserve"> có vấn đề (sẩy, nạo, hút, chết lưu hoặc phá thai bệnh lý): nghỉ tối đa 50 ngày;</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Khi sinh con: Nghỉ 06 tháng, trường hợp sinh đôi trở lên thì từ con thứ hai trở đi, cứ mỗi con, người mẹ được nghỉ thêm 01 tháng.</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Khi tránh </w:t>
      </w:r>
      <w:proofErr w:type="gramStart"/>
      <w:r w:rsidRPr="001100EA">
        <w:rPr>
          <w:rFonts w:ascii="Times New Roman" w:eastAsia="Times New Roman" w:hAnsi="Times New Roman" w:cs="Arial"/>
          <w:color w:val="222222"/>
          <w:sz w:val="26"/>
          <w:szCs w:val="21"/>
        </w:rPr>
        <w:t>thai</w:t>
      </w:r>
      <w:proofErr w:type="gramEnd"/>
      <w:r w:rsidRPr="001100EA">
        <w:rPr>
          <w:rFonts w:ascii="Times New Roman" w:eastAsia="Times New Roman" w:hAnsi="Times New Roman" w:cs="Arial"/>
          <w:color w:val="222222"/>
          <w:sz w:val="26"/>
          <w:szCs w:val="21"/>
        </w:rPr>
        <w:t>: Nghỉ tối đa 15 ngày.</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proofErr w:type="gramStart"/>
      <w:r w:rsidRPr="001100EA">
        <w:rPr>
          <w:rFonts w:ascii="Times New Roman" w:eastAsia="Times New Roman" w:hAnsi="Times New Roman" w:cs="Arial"/>
          <w:color w:val="222222"/>
          <w:sz w:val="26"/>
          <w:szCs w:val="21"/>
        </w:rPr>
        <w:t>Thời gian nghỉ này tính cả ngày nghỉ lễ, nghỉ Tết và nghỉ hằng tuần.</w:t>
      </w:r>
      <w:proofErr w:type="gramEnd"/>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Ngoài ra,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nhận nuôi con dưới 06 tháng tuổi vẫn được nghỉ việc hưởng chế độ cho đến khi con đủ 06 tháng tuổi. </w:t>
      </w:r>
      <w:proofErr w:type="gramStart"/>
      <w:r w:rsidRPr="001100EA">
        <w:rPr>
          <w:rFonts w:ascii="Times New Roman" w:eastAsia="Times New Roman" w:hAnsi="Times New Roman" w:cs="Arial"/>
          <w:color w:val="222222"/>
          <w:sz w:val="26"/>
          <w:szCs w:val="21"/>
        </w:rPr>
        <w:t>Trường hợp cả cha và mẹ cùng tham gia BHXH và đủ điều kiện hưởng thì chỉ cha hoặc mẹ được nghỉ việc hưởng chế độ.</w:t>
      </w:r>
      <w:proofErr w:type="gramEnd"/>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(Điều 32, 33, 34 và 36 Luật Bảo hiểm xã hội 2014)</w:t>
      </w:r>
    </w:p>
    <w:p w:rsidR="001100EA" w:rsidRPr="001100EA" w:rsidRDefault="001100EA" w:rsidP="001100EA">
      <w:pPr>
        <w:shd w:val="clear" w:color="auto" w:fill="FFFFFF"/>
        <w:spacing w:after="0" w:line="360" w:lineRule="atLeast"/>
        <w:outlineLvl w:val="2"/>
        <w:rPr>
          <w:rFonts w:ascii="Times New Roman" w:eastAsia="Times New Roman" w:hAnsi="Times New Roman" w:cs="Arial"/>
          <w:b/>
          <w:bCs/>
          <w:color w:val="222222"/>
          <w:sz w:val="26"/>
          <w:szCs w:val="27"/>
        </w:rPr>
      </w:pPr>
      <w:r w:rsidRPr="001100EA">
        <w:rPr>
          <w:rFonts w:ascii="Times New Roman" w:eastAsia="Times New Roman" w:hAnsi="Times New Roman" w:cs="Arial"/>
          <w:b/>
          <w:bCs/>
          <w:i/>
          <w:iCs/>
          <w:color w:val="222222"/>
          <w:sz w:val="26"/>
          <w:szCs w:val="21"/>
        </w:rPr>
        <w:t xml:space="preserve">Cách tính tiền </w:t>
      </w:r>
      <w:proofErr w:type="gramStart"/>
      <w:r w:rsidRPr="001100EA">
        <w:rPr>
          <w:rFonts w:ascii="Times New Roman" w:eastAsia="Times New Roman" w:hAnsi="Times New Roman" w:cs="Arial"/>
          <w:b/>
          <w:bCs/>
          <w:i/>
          <w:iCs/>
          <w:color w:val="222222"/>
          <w:sz w:val="26"/>
          <w:szCs w:val="21"/>
        </w:rPr>
        <w:t>thai</w:t>
      </w:r>
      <w:proofErr w:type="gramEnd"/>
      <w:r w:rsidRPr="001100EA">
        <w:rPr>
          <w:rFonts w:ascii="Times New Roman" w:eastAsia="Times New Roman" w:hAnsi="Times New Roman" w:cs="Arial"/>
          <w:b/>
          <w:bCs/>
          <w:i/>
          <w:iCs/>
          <w:color w:val="222222"/>
          <w:sz w:val="26"/>
          <w:szCs w:val="21"/>
        </w:rPr>
        <w:t xml:space="preserve"> sản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Lao động nữ sinh con hoặc nhận nuôi con nuôi dưới 06 tháng tuổi sẽ được hưởng </w:t>
      </w:r>
      <w:hyperlink r:id="rId12" w:history="1">
        <w:r w:rsidRPr="001100EA">
          <w:rPr>
            <w:rFonts w:ascii="Times New Roman" w:eastAsia="Times New Roman" w:hAnsi="Times New Roman" w:cs="Arial"/>
            <w:color w:val="A67942"/>
            <w:sz w:val="26"/>
            <w:szCs w:val="21"/>
            <w:u w:val="single"/>
          </w:rPr>
          <w:t xml:space="preserve">tiền </w:t>
        </w:r>
        <w:proofErr w:type="gramStart"/>
        <w:r w:rsidRPr="001100EA">
          <w:rPr>
            <w:rFonts w:ascii="Times New Roman" w:eastAsia="Times New Roman" w:hAnsi="Times New Roman" w:cs="Arial"/>
            <w:color w:val="A67942"/>
            <w:sz w:val="26"/>
            <w:szCs w:val="21"/>
            <w:u w:val="single"/>
          </w:rPr>
          <w:t>thai</w:t>
        </w:r>
        <w:proofErr w:type="gramEnd"/>
        <w:r w:rsidRPr="001100EA">
          <w:rPr>
            <w:rFonts w:ascii="Times New Roman" w:eastAsia="Times New Roman" w:hAnsi="Times New Roman" w:cs="Arial"/>
            <w:color w:val="A67942"/>
            <w:sz w:val="26"/>
            <w:szCs w:val="21"/>
            <w:u w:val="single"/>
          </w:rPr>
          <w:t xml:space="preserve"> sản</w:t>
        </w:r>
      </w:hyperlink>
      <w:r w:rsidRPr="001100EA">
        <w:rPr>
          <w:rFonts w:ascii="Times New Roman" w:eastAsia="Times New Roman" w:hAnsi="Times New Roman" w:cs="Arial"/>
          <w:color w:val="222222"/>
          <w:sz w:val="26"/>
          <w:szCs w:val="21"/>
        </w:rPr>
        <w:t>, bao gồm:</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 Trợ cấp một lần:</w:t>
      </w:r>
    </w:p>
    <w:tbl>
      <w:tblPr>
        <w:tblW w:w="9975" w:type="dxa"/>
        <w:shd w:val="clear" w:color="auto" w:fill="FFFFFF"/>
        <w:tblCellMar>
          <w:left w:w="0" w:type="dxa"/>
          <w:right w:w="0" w:type="dxa"/>
        </w:tblCellMar>
        <w:tblLook w:val="04A0" w:firstRow="1" w:lastRow="0" w:firstColumn="1" w:lastColumn="0" w:noHBand="0" w:noVBand="1"/>
      </w:tblPr>
      <w:tblGrid>
        <w:gridCol w:w="3605"/>
        <w:gridCol w:w="678"/>
        <w:gridCol w:w="813"/>
        <w:gridCol w:w="813"/>
        <w:gridCol w:w="4066"/>
      </w:tblGrid>
      <w:tr w:rsidR="001100EA" w:rsidRPr="001100EA" w:rsidTr="001100EA">
        <w:tc>
          <w:tcPr>
            <w:tcW w:w="199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Mức trợ cấp</w:t>
            </w:r>
          </w:p>
        </w:tc>
        <w:tc>
          <w:tcPr>
            <w:tcW w:w="37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w:t>
            </w:r>
          </w:p>
        </w:tc>
        <w:tc>
          <w:tcPr>
            <w:tcW w:w="45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2</w:t>
            </w:r>
          </w:p>
        </w:tc>
        <w:tc>
          <w:tcPr>
            <w:tcW w:w="45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x</w:t>
            </w:r>
          </w:p>
        </w:tc>
        <w:tc>
          <w:tcPr>
            <w:tcW w:w="225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Lương cơ sở</w:t>
            </w:r>
          </w:p>
        </w:tc>
      </w:tr>
    </w:tbl>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Cụ thể</w:t>
      </w:r>
      <w:proofErr w:type="gramStart"/>
      <w:r w:rsidRPr="001100EA">
        <w:rPr>
          <w:rFonts w:ascii="Times New Roman" w:eastAsia="Times New Roman" w:hAnsi="Times New Roman" w:cs="Arial"/>
          <w:color w:val="222222"/>
          <w:sz w:val="26"/>
          <w:szCs w:val="21"/>
        </w:rPr>
        <w:t>:</w:t>
      </w:r>
      <w:proofErr w:type="gramEnd"/>
      <w:r w:rsidRPr="001100EA">
        <w:rPr>
          <w:rFonts w:ascii="Times New Roman" w:eastAsia="Times New Roman" w:hAnsi="Times New Roman" w:cs="Arial"/>
          <w:color w:val="222222"/>
          <w:sz w:val="26"/>
          <w:szCs w:val="21"/>
        </w:rPr>
        <w:br/>
      </w:r>
      <w:r w:rsidRPr="001100EA">
        <w:rPr>
          <w:rFonts w:ascii="Times New Roman" w:eastAsia="Times New Roman" w:hAnsi="Times New Roman" w:cs="Arial"/>
          <w:color w:val="222222"/>
          <w:sz w:val="26"/>
          <w:szCs w:val="21"/>
        </w:rPr>
        <w:br/>
        <w:t>+ </w:t>
      </w:r>
      <w:r w:rsidRPr="001100EA">
        <w:rPr>
          <w:rFonts w:ascii="Times New Roman" w:eastAsia="Times New Roman" w:hAnsi="Times New Roman" w:cs="Arial"/>
          <w:b/>
          <w:bCs/>
          <w:color w:val="222222"/>
          <w:sz w:val="26"/>
          <w:szCs w:val="21"/>
        </w:rPr>
        <w:t>Từ 01/01/2019</w:t>
      </w:r>
      <w:r w:rsidRPr="001100EA">
        <w:rPr>
          <w:rFonts w:ascii="Times New Roman" w:eastAsia="Times New Roman" w:hAnsi="Times New Roman" w:cs="Arial"/>
          <w:color w:val="222222"/>
          <w:sz w:val="26"/>
          <w:szCs w:val="21"/>
        </w:rPr>
        <w:t>, mức trợ cấp là: </w:t>
      </w:r>
      <w:r w:rsidRPr="001100EA">
        <w:rPr>
          <w:rFonts w:ascii="Times New Roman" w:eastAsia="Times New Roman" w:hAnsi="Times New Roman" w:cs="Arial"/>
          <w:b/>
          <w:bCs/>
          <w:color w:val="222222"/>
          <w:sz w:val="26"/>
          <w:szCs w:val="21"/>
        </w:rPr>
        <w:t>2.780.000 đồng</w:t>
      </w:r>
      <w:r w:rsidRPr="001100EA">
        <w:rPr>
          <w:rFonts w:ascii="Times New Roman" w:eastAsia="Times New Roman" w:hAnsi="Times New Roman" w:cs="Arial"/>
          <w:color w:val="222222"/>
          <w:sz w:val="26"/>
          <w:szCs w:val="21"/>
        </w:rPr>
        <w:br/>
      </w:r>
      <w:r w:rsidRPr="001100EA">
        <w:rPr>
          <w:rFonts w:ascii="Times New Roman" w:eastAsia="Times New Roman" w:hAnsi="Times New Roman" w:cs="Arial"/>
          <w:color w:val="222222"/>
          <w:sz w:val="26"/>
          <w:szCs w:val="21"/>
        </w:rPr>
        <w:br/>
        <w:t>+ </w:t>
      </w:r>
      <w:r w:rsidRPr="001100EA">
        <w:rPr>
          <w:rFonts w:ascii="Times New Roman" w:eastAsia="Times New Roman" w:hAnsi="Times New Roman" w:cs="Arial"/>
          <w:b/>
          <w:bCs/>
          <w:color w:val="222222"/>
          <w:sz w:val="26"/>
          <w:szCs w:val="21"/>
        </w:rPr>
        <w:t>Từ 01/07/2019</w:t>
      </w:r>
      <w:r w:rsidRPr="001100EA">
        <w:rPr>
          <w:rFonts w:ascii="Times New Roman" w:eastAsia="Times New Roman" w:hAnsi="Times New Roman" w:cs="Arial"/>
          <w:color w:val="222222"/>
          <w:sz w:val="26"/>
          <w:szCs w:val="21"/>
        </w:rPr>
        <w:t>, mức trợ cấp là: </w:t>
      </w:r>
      <w:r w:rsidRPr="001100EA">
        <w:rPr>
          <w:rFonts w:ascii="Times New Roman" w:eastAsia="Times New Roman" w:hAnsi="Times New Roman" w:cs="Arial"/>
          <w:b/>
          <w:bCs/>
          <w:color w:val="222222"/>
          <w:sz w:val="26"/>
          <w:szCs w:val="21"/>
        </w:rPr>
        <w:t>2.980.000 đồng</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(Điều 38 Luật Bảo hiểm xã hội 2014)</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 Tiền chế độ:</w:t>
      </w:r>
    </w:p>
    <w:tbl>
      <w:tblPr>
        <w:tblW w:w="9975" w:type="dxa"/>
        <w:shd w:val="clear" w:color="auto" w:fill="FFFFFF"/>
        <w:tblCellMar>
          <w:left w:w="0" w:type="dxa"/>
          <w:right w:w="0" w:type="dxa"/>
        </w:tblCellMar>
        <w:tblLook w:val="04A0" w:firstRow="1" w:lastRow="0" w:firstColumn="1" w:lastColumn="0" w:noHBand="0" w:noVBand="1"/>
      </w:tblPr>
      <w:tblGrid>
        <w:gridCol w:w="2098"/>
        <w:gridCol w:w="495"/>
        <w:gridCol w:w="1090"/>
        <w:gridCol w:w="396"/>
        <w:gridCol w:w="5896"/>
      </w:tblGrid>
      <w:tr w:rsidR="001100EA" w:rsidRPr="001100EA" w:rsidTr="001100EA">
        <w:tc>
          <w:tcPr>
            <w:tcW w:w="190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 xml:space="preserve">Mức hưởng </w:t>
            </w:r>
            <w:r w:rsidRPr="001100EA">
              <w:rPr>
                <w:rFonts w:ascii="Times New Roman" w:eastAsia="Times New Roman" w:hAnsi="Times New Roman" w:cs="Arial"/>
                <w:b/>
                <w:bCs/>
                <w:color w:val="222222"/>
                <w:sz w:val="26"/>
                <w:szCs w:val="21"/>
              </w:rPr>
              <w:lastRenderedPageBreak/>
              <w:t>hàng tháng</w:t>
            </w:r>
          </w:p>
        </w:tc>
        <w:tc>
          <w:tcPr>
            <w:tcW w:w="45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lastRenderedPageBreak/>
              <w:t>=</w:t>
            </w:r>
          </w:p>
        </w:tc>
        <w:tc>
          <w:tcPr>
            <w:tcW w:w="99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100%</w:t>
            </w:r>
          </w:p>
        </w:tc>
        <w:tc>
          <w:tcPr>
            <w:tcW w:w="36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x</w:t>
            </w:r>
          </w:p>
        </w:tc>
        <w:tc>
          <w:tcPr>
            <w:tcW w:w="535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 xml:space="preserve">Mức bình quân tiền lương tháng đóng BHXH 06 </w:t>
            </w:r>
            <w:r w:rsidRPr="001100EA">
              <w:rPr>
                <w:rFonts w:ascii="Times New Roman" w:eastAsia="Times New Roman" w:hAnsi="Times New Roman" w:cs="Arial"/>
                <w:b/>
                <w:bCs/>
                <w:color w:val="222222"/>
                <w:sz w:val="26"/>
                <w:szCs w:val="21"/>
              </w:rPr>
              <w:lastRenderedPageBreak/>
              <w:t>tháng trước khi nghỉ việc</w:t>
            </w:r>
          </w:p>
        </w:tc>
      </w:tr>
    </w:tbl>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lastRenderedPageBreak/>
        <w:t xml:space="preserve">Trường hợp chưa đóng đủ 06 tháng thì mức hưởng được tính </w:t>
      </w:r>
      <w:proofErr w:type="gramStart"/>
      <w:r w:rsidRPr="001100EA">
        <w:rPr>
          <w:rFonts w:ascii="Times New Roman" w:eastAsia="Times New Roman" w:hAnsi="Times New Roman" w:cs="Arial"/>
          <w:i/>
          <w:iCs/>
          <w:color w:val="222222"/>
          <w:sz w:val="26"/>
          <w:szCs w:val="21"/>
        </w:rPr>
        <w:t>theo</w:t>
      </w:r>
      <w:proofErr w:type="gramEnd"/>
      <w:r w:rsidRPr="001100EA">
        <w:rPr>
          <w:rFonts w:ascii="Times New Roman" w:eastAsia="Times New Roman" w:hAnsi="Times New Roman" w:cs="Arial"/>
          <w:i/>
          <w:iCs/>
          <w:color w:val="222222"/>
          <w:sz w:val="26"/>
          <w:szCs w:val="21"/>
        </w:rPr>
        <w:t xml:space="preserve"> mức bình quân tiền lương tháng của các tháng đã đóng.</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(Điều 39 Luật Bảo hiểm xã hội 2014)</w:t>
      </w:r>
      <w:r w:rsidRPr="001100EA">
        <w:rPr>
          <w:rFonts w:ascii="Times New Roman" w:eastAsia="Times New Roman" w:hAnsi="Times New Roman" w:cs="Arial"/>
          <w:color w:val="222222"/>
          <w:sz w:val="26"/>
          <w:szCs w:val="21"/>
        </w:rPr>
        <w:br/>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 xml:space="preserve">3. Chế độ </w:t>
      </w:r>
      <w:proofErr w:type="gramStart"/>
      <w:r w:rsidRPr="001100EA">
        <w:rPr>
          <w:rFonts w:ascii="Times New Roman" w:eastAsia="Times New Roman" w:hAnsi="Times New Roman" w:cs="Arial"/>
          <w:b/>
          <w:bCs/>
          <w:color w:val="222222"/>
          <w:sz w:val="26"/>
          <w:szCs w:val="21"/>
        </w:rPr>
        <w:t>thai</w:t>
      </w:r>
      <w:proofErr w:type="gramEnd"/>
      <w:r w:rsidRPr="001100EA">
        <w:rPr>
          <w:rFonts w:ascii="Times New Roman" w:eastAsia="Times New Roman" w:hAnsi="Times New Roman" w:cs="Arial"/>
          <w:b/>
          <w:bCs/>
          <w:color w:val="222222"/>
          <w:sz w:val="26"/>
          <w:szCs w:val="21"/>
        </w:rPr>
        <w:t xml:space="preserve"> sản của chồng</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Để chăm sóc tốt nhất cho đứa con của mình, pháp luật cũng tạo điều kiện cho </w:t>
      </w:r>
      <w:hyperlink r:id="rId13" w:history="1">
        <w:proofErr w:type="gramStart"/>
        <w:r w:rsidRPr="001100EA">
          <w:rPr>
            <w:rFonts w:ascii="Times New Roman" w:eastAsia="Times New Roman" w:hAnsi="Times New Roman" w:cs="Arial"/>
            <w:color w:val="A67942"/>
            <w:sz w:val="26"/>
            <w:szCs w:val="21"/>
            <w:u w:val="single"/>
          </w:rPr>
          <w:t>lao</w:t>
        </w:r>
        <w:proofErr w:type="gramEnd"/>
        <w:r w:rsidRPr="001100EA">
          <w:rPr>
            <w:rFonts w:ascii="Times New Roman" w:eastAsia="Times New Roman" w:hAnsi="Times New Roman" w:cs="Arial"/>
            <w:color w:val="A67942"/>
            <w:sz w:val="26"/>
            <w:szCs w:val="21"/>
            <w:u w:val="single"/>
          </w:rPr>
          <w:t xml:space="preserve"> động nam được hưởng chế độ thai sản</w:t>
        </w:r>
      </w:hyperlink>
      <w:r w:rsidRPr="001100EA">
        <w:rPr>
          <w:rFonts w:ascii="Times New Roman" w:eastAsia="Times New Roman" w:hAnsi="Times New Roman" w:cs="Arial"/>
          <w:color w:val="222222"/>
          <w:sz w:val="26"/>
          <w:szCs w:val="21"/>
        </w:rPr>
        <w:t>. Theo đó:</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b/>
          <w:bCs/>
          <w:i/>
          <w:iCs/>
          <w:color w:val="222222"/>
          <w:sz w:val="26"/>
          <w:szCs w:val="21"/>
        </w:rPr>
        <w:t xml:space="preserve">Thời gian nghỉ </w:t>
      </w:r>
      <w:proofErr w:type="gramStart"/>
      <w:r w:rsidRPr="001100EA">
        <w:rPr>
          <w:rFonts w:ascii="Times New Roman" w:eastAsia="Times New Roman" w:hAnsi="Times New Roman" w:cs="Arial"/>
          <w:b/>
          <w:bCs/>
          <w:i/>
          <w:iCs/>
          <w:color w:val="222222"/>
          <w:sz w:val="26"/>
          <w:szCs w:val="21"/>
        </w:rPr>
        <w:t>thai</w:t>
      </w:r>
      <w:proofErr w:type="gramEnd"/>
      <w:r w:rsidRPr="001100EA">
        <w:rPr>
          <w:rFonts w:ascii="Times New Roman" w:eastAsia="Times New Roman" w:hAnsi="Times New Roman" w:cs="Arial"/>
          <w:b/>
          <w:bCs/>
          <w:i/>
          <w:iCs/>
          <w:color w:val="222222"/>
          <w:sz w:val="26"/>
          <w:szCs w:val="21"/>
        </w:rPr>
        <w:t xml:space="preserve"> sản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Trong 30 ngày đầu kể từ ngày người vợ sinh con, người chồng được nghỉ từ 05 đến 14 ngày làm việc:</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- 05 ngày nếu </w:t>
      </w:r>
      <w:hyperlink r:id="rId14" w:history="1">
        <w:r w:rsidRPr="001100EA">
          <w:rPr>
            <w:rFonts w:ascii="Times New Roman" w:eastAsia="Times New Roman" w:hAnsi="Times New Roman" w:cs="Arial"/>
            <w:color w:val="A67942"/>
            <w:sz w:val="26"/>
            <w:szCs w:val="21"/>
            <w:u w:val="single"/>
          </w:rPr>
          <w:t>sinh thường</w:t>
        </w:r>
      </w:hyperlink>
      <w:r w:rsidRPr="001100EA">
        <w:rPr>
          <w:rFonts w:ascii="Times New Roman" w:eastAsia="Times New Roman" w:hAnsi="Times New Roman" w:cs="Arial"/>
          <w:color w:val="222222"/>
          <w:sz w:val="26"/>
          <w:szCs w:val="21"/>
        </w:rPr>
        <w:t>;</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- 07 ngày nếu </w:t>
      </w:r>
      <w:hyperlink r:id="rId15" w:history="1">
        <w:r w:rsidRPr="001100EA">
          <w:rPr>
            <w:rFonts w:ascii="Times New Roman" w:eastAsia="Times New Roman" w:hAnsi="Times New Roman" w:cs="Arial"/>
            <w:color w:val="A67942"/>
            <w:sz w:val="26"/>
            <w:szCs w:val="21"/>
            <w:u w:val="single"/>
          </w:rPr>
          <w:t>sinh mổ</w:t>
        </w:r>
      </w:hyperlink>
      <w:r w:rsidRPr="001100EA">
        <w:rPr>
          <w:rFonts w:ascii="Times New Roman" w:eastAsia="Times New Roman" w:hAnsi="Times New Roman" w:cs="Arial"/>
          <w:color w:val="222222"/>
          <w:sz w:val="26"/>
          <w:szCs w:val="21"/>
        </w:rPr>
        <w:t>, sinh dưới 32 tuần tuổi;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- 10 ngày nếu </w:t>
      </w:r>
      <w:hyperlink r:id="rId16" w:history="1">
        <w:r w:rsidRPr="001100EA">
          <w:rPr>
            <w:rFonts w:ascii="Times New Roman" w:eastAsia="Times New Roman" w:hAnsi="Times New Roman" w:cs="Arial"/>
            <w:color w:val="A67942"/>
            <w:sz w:val="26"/>
            <w:szCs w:val="21"/>
            <w:u w:val="single"/>
          </w:rPr>
          <w:t>sinh đôi</w:t>
        </w:r>
      </w:hyperlink>
      <w:r w:rsidRPr="001100EA">
        <w:rPr>
          <w:rFonts w:ascii="Times New Roman" w:eastAsia="Times New Roman" w:hAnsi="Times New Roman" w:cs="Arial"/>
          <w:color w:val="222222"/>
          <w:sz w:val="26"/>
          <w:szCs w:val="21"/>
        </w:rPr>
        <w:t>; sinh ba trở lên thì cứ mỗi con được nghỉ thêm 03 ngày;</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- 14 ngày nếu sinh đôi trở lên mà phải mổ.</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w:t>
      </w:r>
      <w:proofErr w:type="gramStart"/>
      <w:r w:rsidRPr="001100EA">
        <w:rPr>
          <w:rFonts w:ascii="Times New Roman" w:eastAsia="Times New Roman" w:hAnsi="Times New Roman" w:cs="Arial"/>
          <w:color w:val="222222"/>
          <w:sz w:val="26"/>
          <w:szCs w:val="21"/>
        </w:rPr>
        <w:t>khoản</w:t>
      </w:r>
      <w:proofErr w:type="gramEnd"/>
      <w:r w:rsidRPr="001100EA">
        <w:rPr>
          <w:rFonts w:ascii="Times New Roman" w:eastAsia="Times New Roman" w:hAnsi="Times New Roman" w:cs="Arial"/>
          <w:color w:val="222222"/>
          <w:sz w:val="26"/>
          <w:szCs w:val="21"/>
        </w:rPr>
        <w:t xml:space="preserve"> 2 Điều 34 Luật Bảo hiểm xã hội 2014)</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b/>
          <w:bCs/>
          <w:i/>
          <w:iCs/>
          <w:color w:val="222222"/>
          <w:sz w:val="26"/>
          <w:szCs w:val="21"/>
        </w:rPr>
        <w:t xml:space="preserve">Tiền </w:t>
      </w:r>
      <w:proofErr w:type="gramStart"/>
      <w:r w:rsidRPr="001100EA">
        <w:rPr>
          <w:rFonts w:ascii="Times New Roman" w:eastAsia="Times New Roman" w:hAnsi="Times New Roman" w:cs="Arial"/>
          <w:b/>
          <w:bCs/>
          <w:i/>
          <w:iCs/>
          <w:color w:val="222222"/>
          <w:sz w:val="26"/>
          <w:szCs w:val="21"/>
        </w:rPr>
        <w:t>thai</w:t>
      </w:r>
      <w:proofErr w:type="gramEnd"/>
      <w:r w:rsidRPr="001100EA">
        <w:rPr>
          <w:rFonts w:ascii="Times New Roman" w:eastAsia="Times New Roman" w:hAnsi="Times New Roman" w:cs="Arial"/>
          <w:b/>
          <w:bCs/>
          <w:i/>
          <w:iCs/>
          <w:color w:val="222222"/>
          <w:sz w:val="26"/>
          <w:szCs w:val="21"/>
        </w:rPr>
        <w:t xml:space="preserve"> sản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 Trợ cấp một lần: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Khoản trợ cấp này áp dụng trong trường hợp sinh con nhưng chỉ có người chồng tham gia BHXH và đã đóng đủ từ 06 tháng trở lên trong 12 tháng trước khi người vợ sinh.</w:t>
      </w:r>
    </w:p>
    <w:tbl>
      <w:tblPr>
        <w:tblW w:w="9975" w:type="dxa"/>
        <w:shd w:val="clear" w:color="auto" w:fill="FFFFFF"/>
        <w:tblCellMar>
          <w:left w:w="0" w:type="dxa"/>
          <w:right w:w="0" w:type="dxa"/>
        </w:tblCellMar>
        <w:tblLook w:val="04A0" w:firstRow="1" w:lastRow="0" w:firstColumn="1" w:lastColumn="0" w:noHBand="0" w:noVBand="1"/>
      </w:tblPr>
      <w:tblGrid>
        <w:gridCol w:w="3605"/>
        <w:gridCol w:w="678"/>
        <w:gridCol w:w="813"/>
        <w:gridCol w:w="813"/>
        <w:gridCol w:w="4066"/>
      </w:tblGrid>
      <w:tr w:rsidR="001100EA" w:rsidRPr="001100EA" w:rsidTr="001100EA">
        <w:tc>
          <w:tcPr>
            <w:tcW w:w="199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Mức trợ cấp</w:t>
            </w:r>
          </w:p>
        </w:tc>
        <w:tc>
          <w:tcPr>
            <w:tcW w:w="37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w:t>
            </w:r>
          </w:p>
        </w:tc>
        <w:tc>
          <w:tcPr>
            <w:tcW w:w="45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2</w:t>
            </w:r>
          </w:p>
        </w:tc>
        <w:tc>
          <w:tcPr>
            <w:tcW w:w="45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x</w:t>
            </w:r>
          </w:p>
        </w:tc>
        <w:tc>
          <w:tcPr>
            <w:tcW w:w="225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Lương cơ sở</w:t>
            </w:r>
          </w:p>
        </w:tc>
      </w:tr>
    </w:tbl>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(Điều 38 Luật Bảo hiểm xã hội 2014 và điểm a khoản 2 Điều 9 </w:t>
      </w:r>
      <w:hyperlink r:id="rId17" w:anchor="noidung" w:history="1">
        <w:r w:rsidRPr="001100EA">
          <w:rPr>
            <w:rFonts w:ascii="Times New Roman" w:eastAsia="Times New Roman" w:hAnsi="Times New Roman" w:cs="Arial"/>
            <w:color w:val="A67942"/>
            <w:sz w:val="26"/>
            <w:szCs w:val="21"/>
            <w:u w:val="single"/>
          </w:rPr>
          <w:t>Thông tư 59/2015/TT-BLĐTBXH</w:t>
        </w:r>
      </w:hyperlink>
      <w:r w:rsidRPr="001100EA">
        <w:rPr>
          <w:rFonts w:ascii="Times New Roman" w:eastAsia="Times New Roman" w:hAnsi="Times New Roman" w:cs="Arial"/>
          <w:color w:val="222222"/>
          <w:sz w:val="26"/>
          <w:szCs w:val="21"/>
        </w:rPr>
        <w:t>)</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 Tiền chế độ:</w:t>
      </w:r>
    </w:p>
    <w:tbl>
      <w:tblPr>
        <w:tblW w:w="9555" w:type="dxa"/>
        <w:shd w:val="clear" w:color="auto" w:fill="FFFFFF"/>
        <w:tblCellMar>
          <w:left w:w="0" w:type="dxa"/>
          <w:right w:w="0" w:type="dxa"/>
        </w:tblCellMar>
        <w:tblLook w:val="04A0" w:firstRow="1" w:lastRow="0" w:firstColumn="1" w:lastColumn="0" w:noHBand="0" w:noVBand="1"/>
      </w:tblPr>
      <w:tblGrid>
        <w:gridCol w:w="1439"/>
        <w:gridCol w:w="375"/>
        <w:gridCol w:w="5278"/>
        <w:gridCol w:w="303"/>
        <w:gridCol w:w="540"/>
        <w:gridCol w:w="360"/>
        <w:gridCol w:w="1260"/>
      </w:tblGrid>
      <w:tr w:rsidR="001100EA" w:rsidRPr="001100EA" w:rsidTr="001100EA">
        <w:tc>
          <w:tcPr>
            <w:tcW w:w="144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Mức hưởng</w:t>
            </w:r>
          </w:p>
        </w:tc>
        <w:tc>
          <w:tcPr>
            <w:tcW w:w="37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w:t>
            </w:r>
          </w:p>
        </w:tc>
        <w:tc>
          <w:tcPr>
            <w:tcW w:w="528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Mức bình quân tiền lương tháng đóng BHXH của 06 tháng trước khi nghỉ việc</w:t>
            </w:r>
          </w:p>
        </w:tc>
        <w:tc>
          <w:tcPr>
            <w:tcW w:w="30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w:t>
            </w:r>
          </w:p>
        </w:tc>
        <w:tc>
          <w:tcPr>
            <w:tcW w:w="54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24</w:t>
            </w:r>
          </w:p>
        </w:tc>
        <w:tc>
          <w:tcPr>
            <w:tcW w:w="36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x</w:t>
            </w:r>
          </w:p>
        </w:tc>
        <w:tc>
          <w:tcPr>
            <w:tcW w:w="126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Số ngày nghỉ</w:t>
            </w:r>
          </w:p>
        </w:tc>
      </w:tr>
    </w:tbl>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(Điểm b khoản 1 Điều 39 Luật Bảo hiểm xã hội 2014)</w:t>
      </w:r>
    </w:p>
    <w:p w:rsidR="001100EA" w:rsidRPr="001100EA" w:rsidRDefault="001100EA" w:rsidP="001100EA">
      <w:pPr>
        <w:shd w:val="clear" w:color="auto" w:fill="FFFFFF"/>
        <w:spacing w:after="0" w:line="360" w:lineRule="atLeast"/>
        <w:outlineLvl w:val="1"/>
        <w:rPr>
          <w:rFonts w:ascii="Times New Roman" w:eastAsia="Times New Roman" w:hAnsi="Times New Roman" w:cs="Arial"/>
          <w:b/>
          <w:bCs/>
          <w:color w:val="222222"/>
          <w:sz w:val="26"/>
          <w:szCs w:val="36"/>
        </w:rPr>
      </w:pPr>
      <w:r w:rsidRPr="001100EA">
        <w:rPr>
          <w:rFonts w:ascii="Times New Roman" w:eastAsia="Times New Roman" w:hAnsi="Times New Roman" w:cs="Arial"/>
          <w:b/>
          <w:bCs/>
          <w:color w:val="222222"/>
          <w:sz w:val="26"/>
          <w:szCs w:val="21"/>
        </w:rPr>
        <w:t>4. Hồ sơ hưởng chế độ</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Theo quy định tại Điều 101 Luật Bảo hiểm xã hội 2014 và Điều 9 </w:t>
      </w:r>
      <w:hyperlink r:id="rId18" w:anchor="noidung" w:history="1">
        <w:r w:rsidRPr="001100EA">
          <w:rPr>
            <w:rFonts w:ascii="Times New Roman" w:eastAsia="Times New Roman" w:hAnsi="Times New Roman" w:cs="Arial"/>
            <w:color w:val="A67942"/>
            <w:sz w:val="26"/>
            <w:szCs w:val="21"/>
            <w:u w:val="single"/>
          </w:rPr>
          <w:t>Quyết định 636/QĐ-BHXH</w:t>
        </w:r>
      </w:hyperlink>
      <w:r w:rsidRPr="001100EA">
        <w:rPr>
          <w:rFonts w:ascii="Times New Roman" w:eastAsia="Times New Roman" w:hAnsi="Times New Roman" w:cs="Arial"/>
          <w:color w:val="222222"/>
          <w:sz w:val="26"/>
          <w:szCs w:val="21"/>
        </w:rPr>
        <w:t>, người lao động làm hồ sơ hưởng thai sản bao gồm các giấy tờ sau:</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 xml:space="preserve">- Đối với </w:t>
      </w:r>
      <w:proofErr w:type="gramStart"/>
      <w:r w:rsidRPr="001100EA">
        <w:rPr>
          <w:rFonts w:ascii="Times New Roman" w:eastAsia="Times New Roman" w:hAnsi="Times New Roman" w:cs="Arial"/>
          <w:i/>
          <w:iCs/>
          <w:color w:val="222222"/>
          <w:sz w:val="26"/>
          <w:szCs w:val="21"/>
        </w:rPr>
        <w:t>lao</w:t>
      </w:r>
      <w:proofErr w:type="gramEnd"/>
      <w:r w:rsidRPr="001100EA">
        <w:rPr>
          <w:rFonts w:ascii="Times New Roman" w:eastAsia="Times New Roman" w:hAnsi="Times New Roman" w:cs="Arial"/>
          <w:i/>
          <w:iCs/>
          <w:color w:val="222222"/>
          <w:sz w:val="26"/>
          <w:szCs w:val="21"/>
        </w:rPr>
        <w:t xml:space="preserve"> động nữ sinh con</w:t>
      </w:r>
      <w:r w:rsidRPr="001100EA">
        <w:rPr>
          <w:rFonts w:ascii="Times New Roman" w:eastAsia="Times New Roman" w:hAnsi="Times New Roman" w:cs="Arial"/>
          <w:color w:val="222222"/>
          <w:sz w:val="26"/>
          <w:szCs w:val="21"/>
        </w:rPr>
        <w:t>, tùy vào từng trường hợp để cung cấp loại giấy tờ cho phù hợp:</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Bản sao giấy khai sinh hoặc giấy chứng sinh của con;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Bản sao giấy chứng tử của con trong trường hợp con chết;</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Bản sao giấy chứng tử của mẹ trong trường hợp sau khi sinh mẹ chết;</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lastRenderedPageBreak/>
        <w:t>+ Giấy xác nhận của cơ sở khám, chữa bệnh về tình trạng người mẹ sau sinh không đủ sức khỏe để chăm con;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Trích sao hồ sơ bệnh án hoặc giấy ra viện của người mẹ trong trường hợp con chết sau sinh mà chưa được cấp giấy chứng sinh;</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w:t>
      </w:r>
      <w:hyperlink r:id="rId19" w:history="1">
        <w:r w:rsidRPr="001100EA">
          <w:rPr>
            <w:rFonts w:ascii="Times New Roman" w:eastAsia="Times New Roman" w:hAnsi="Times New Roman" w:cs="Arial"/>
            <w:color w:val="A67942"/>
            <w:sz w:val="26"/>
            <w:szCs w:val="21"/>
            <w:u w:val="single"/>
          </w:rPr>
          <w:t xml:space="preserve">Giấy chứng nhận nghỉ dưỡng </w:t>
        </w:r>
        <w:proofErr w:type="gramStart"/>
        <w:r w:rsidRPr="001100EA">
          <w:rPr>
            <w:rFonts w:ascii="Times New Roman" w:eastAsia="Times New Roman" w:hAnsi="Times New Roman" w:cs="Arial"/>
            <w:color w:val="A67942"/>
            <w:sz w:val="26"/>
            <w:szCs w:val="21"/>
            <w:u w:val="single"/>
          </w:rPr>
          <w:t>thai</w:t>
        </w:r>
        <w:proofErr w:type="gramEnd"/>
      </w:hyperlink>
      <w:r w:rsidRPr="001100EA">
        <w:rPr>
          <w:rFonts w:ascii="Times New Roman" w:eastAsia="Times New Roman" w:hAnsi="Times New Roman" w:cs="Arial"/>
          <w:color w:val="222222"/>
          <w:sz w:val="26"/>
          <w:szCs w:val="21"/>
        </w:rPr>
        <w:t>.</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 xml:space="preserve">- Đối với </w:t>
      </w:r>
      <w:proofErr w:type="gramStart"/>
      <w:r w:rsidRPr="001100EA">
        <w:rPr>
          <w:rFonts w:ascii="Times New Roman" w:eastAsia="Times New Roman" w:hAnsi="Times New Roman" w:cs="Arial"/>
          <w:i/>
          <w:iCs/>
          <w:color w:val="222222"/>
          <w:sz w:val="26"/>
          <w:szCs w:val="21"/>
        </w:rPr>
        <w:t>lao</w:t>
      </w:r>
      <w:proofErr w:type="gramEnd"/>
      <w:r w:rsidRPr="001100EA">
        <w:rPr>
          <w:rFonts w:ascii="Times New Roman" w:eastAsia="Times New Roman" w:hAnsi="Times New Roman" w:cs="Arial"/>
          <w:i/>
          <w:iCs/>
          <w:color w:val="222222"/>
          <w:sz w:val="26"/>
          <w:szCs w:val="21"/>
        </w:rPr>
        <w:t xml:space="preserve"> động nữ khám thai, sẩy thai, nạo, hút thai, thai chết lưu, phá thai bệnh lý hoặc tránh thai: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Giấy chứng nhận nghỉ việc hưởng BHXH nếu điều trị ngoại trú;</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Giấy ra viện nếu điều trị nội trú.</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 xml:space="preserve">- Đối với người </w:t>
      </w:r>
      <w:proofErr w:type="gramStart"/>
      <w:r w:rsidRPr="001100EA">
        <w:rPr>
          <w:rFonts w:ascii="Times New Roman" w:eastAsia="Times New Roman" w:hAnsi="Times New Roman" w:cs="Arial"/>
          <w:i/>
          <w:iCs/>
          <w:color w:val="222222"/>
          <w:sz w:val="26"/>
          <w:szCs w:val="21"/>
        </w:rPr>
        <w:t>lao</w:t>
      </w:r>
      <w:proofErr w:type="gramEnd"/>
      <w:r w:rsidRPr="001100EA">
        <w:rPr>
          <w:rFonts w:ascii="Times New Roman" w:eastAsia="Times New Roman" w:hAnsi="Times New Roman" w:cs="Arial"/>
          <w:i/>
          <w:iCs/>
          <w:color w:val="222222"/>
          <w:sz w:val="26"/>
          <w:szCs w:val="21"/>
        </w:rPr>
        <w:t xml:space="preserve"> động </w:t>
      </w:r>
      <w:hyperlink r:id="rId20" w:history="1">
        <w:r w:rsidRPr="001100EA">
          <w:rPr>
            <w:rFonts w:ascii="Times New Roman" w:eastAsia="Times New Roman" w:hAnsi="Times New Roman" w:cs="Arial"/>
            <w:i/>
            <w:iCs/>
            <w:color w:val="A67942"/>
            <w:sz w:val="26"/>
            <w:szCs w:val="21"/>
            <w:u w:val="single"/>
          </w:rPr>
          <w:t>nhận con nuôi</w:t>
        </w:r>
      </w:hyperlink>
      <w:r w:rsidRPr="001100EA">
        <w:rPr>
          <w:rFonts w:ascii="Times New Roman" w:eastAsia="Times New Roman" w:hAnsi="Times New Roman" w:cs="Arial"/>
          <w:i/>
          <w:iCs/>
          <w:color w:val="222222"/>
          <w:sz w:val="26"/>
          <w:szCs w:val="21"/>
        </w:rPr>
        <w:t> dưới 06 tháng tuổi: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Giấy chứng nhận nuôi con nuôi.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 xml:space="preserve">- Đối với </w:t>
      </w:r>
      <w:proofErr w:type="gramStart"/>
      <w:r w:rsidRPr="001100EA">
        <w:rPr>
          <w:rFonts w:ascii="Times New Roman" w:eastAsia="Times New Roman" w:hAnsi="Times New Roman" w:cs="Arial"/>
          <w:i/>
          <w:iCs/>
          <w:color w:val="222222"/>
          <w:sz w:val="26"/>
          <w:szCs w:val="21"/>
        </w:rPr>
        <w:t>lao</w:t>
      </w:r>
      <w:proofErr w:type="gramEnd"/>
      <w:r w:rsidRPr="001100EA">
        <w:rPr>
          <w:rFonts w:ascii="Times New Roman" w:eastAsia="Times New Roman" w:hAnsi="Times New Roman" w:cs="Arial"/>
          <w:i/>
          <w:iCs/>
          <w:color w:val="222222"/>
          <w:sz w:val="26"/>
          <w:szCs w:val="21"/>
        </w:rPr>
        <w:t xml:space="preserve"> động nam nghỉ việc khi vợ sinh:</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Bản sao giấy chứng sinh hoặc giấy khai sinh của con;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Giấy xác nhận của cơ sở y tế trong trường hợp sinh con phải mổ, sinh con dưới 32 tuần tuổi.</w:t>
      </w:r>
    </w:p>
    <w:p w:rsidR="001100EA" w:rsidRPr="001100EA" w:rsidRDefault="001100EA" w:rsidP="001100EA">
      <w:pPr>
        <w:shd w:val="clear" w:color="auto" w:fill="FFFFFF"/>
        <w:spacing w:after="0" w:line="360" w:lineRule="atLeast"/>
        <w:outlineLvl w:val="1"/>
        <w:rPr>
          <w:rFonts w:ascii="Times New Roman" w:eastAsia="Times New Roman" w:hAnsi="Times New Roman" w:cs="Arial"/>
          <w:b/>
          <w:bCs/>
          <w:color w:val="222222"/>
          <w:sz w:val="26"/>
          <w:szCs w:val="36"/>
        </w:rPr>
      </w:pPr>
      <w:r w:rsidRPr="001100EA">
        <w:rPr>
          <w:rFonts w:ascii="Times New Roman" w:eastAsia="Times New Roman" w:hAnsi="Times New Roman" w:cs="Arial"/>
          <w:b/>
          <w:bCs/>
          <w:color w:val="222222"/>
          <w:sz w:val="26"/>
          <w:szCs w:val="21"/>
        </w:rPr>
        <w:t>5. Thủ tục hưởng chế độ</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Để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được hưởng chế độ, các cá nhân, tổ chức có liên quan thực hiện theo trình tự dưới đây:</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 xml:space="preserve">Bước 1: Người </w:t>
      </w:r>
      <w:proofErr w:type="gramStart"/>
      <w:r w:rsidRPr="001100EA">
        <w:rPr>
          <w:rFonts w:ascii="Times New Roman" w:eastAsia="Times New Roman" w:hAnsi="Times New Roman" w:cs="Arial"/>
          <w:b/>
          <w:bCs/>
          <w:color w:val="222222"/>
          <w:sz w:val="26"/>
          <w:szCs w:val="21"/>
        </w:rPr>
        <w:t>lao</w:t>
      </w:r>
      <w:proofErr w:type="gramEnd"/>
      <w:r w:rsidRPr="001100EA">
        <w:rPr>
          <w:rFonts w:ascii="Times New Roman" w:eastAsia="Times New Roman" w:hAnsi="Times New Roman" w:cs="Arial"/>
          <w:b/>
          <w:bCs/>
          <w:color w:val="222222"/>
          <w:sz w:val="26"/>
          <w:szCs w:val="21"/>
        </w:rPr>
        <w:t xml:space="preserve"> động nộp hồ sơ</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Trong thời hạn 45 ngày kể từ ngày trở lại làm việc,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nộp hồ sơ hưởng chế độ thai sản nêu trên cho người sử dụng lao động.</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Trường hợp </w:t>
      </w:r>
      <w:hyperlink r:id="rId21" w:history="1">
        <w:r w:rsidRPr="001100EA">
          <w:rPr>
            <w:rFonts w:ascii="Times New Roman" w:eastAsia="Times New Roman" w:hAnsi="Times New Roman" w:cs="Arial"/>
            <w:color w:val="A67942"/>
            <w:sz w:val="26"/>
            <w:szCs w:val="21"/>
            <w:u w:val="single"/>
          </w:rPr>
          <w:t>thôi việc trước khi sinh</w:t>
        </w:r>
      </w:hyperlink>
      <w:r w:rsidRPr="001100EA">
        <w:rPr>
          <w:rFonts w:ascii="Times New Roman" w:eastAsia="Times New Roman" w:hAnsi="Times New Roman" w:cs="Arial"/>
          <w:color w:val="222222"/>
          <w:sz w:val="26"/>
          <w:szCs w:val="21"/>
        </w:rPr>
        <w:t> hoặc nhận con nuôi thì nộp hồ sơ và xuất trình sổ BHXH cho cơ quan BHXH.</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 xml:space="preserve">Bước 2: Người sử dụng </w:t>
      </w:r>
      <w:proofErr w:type="gramStart"/>
      <w:r w:rsidRPr="001100EA">
        <w:rPr>
          <w:rFonts w:ascii="Times New Roman" w:eastAsia="Times New Roman" w:hAnsi="Times New Roman" w:cs="Arial"/>
          <w:b/>
          <w:bCs/>
          <w:color w:val="222222"/>
          <w:sz w:val="26"/>
          <w:szCs w:val="21"/>
        </w:rPr>
        <w:t>lao</w:t>
      </w:r>
      <w:proofErr w:type="gramEnd"/>
      <w:r w:rsidRPr="001100EA">
        <w:rPr>
          <w:rFonts w:ascii="Times New Roman" w:eastAsia="Times New Roman" w:hAnsi="Times New Roman" w:cs="Arial"/>
          <w:b/>
          <w:bCs/>
          <w:color w:val="222222"/>
          <w:sz w:val="26"/>
          <w:szCs w:val="21"/>
        </w:rPr>
        <w:t xml:space="preserve"> động lập hồ sơ</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Trong vòng 10 ngày kể từ ngày nhận đủ hồ sơ từ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người sử dụng lao động có trách nhiệm lập hồ sơ (bao gồm hồ sơ của người lao động và </w:t>
      </w:r>
      <w:hyperlink r:id="rId22" w:history="1">
        <w:r w:rsidRPr="001100EA">
          <w:rPr>
            <w:rFonts w:ascii="Times New Roman" w:eastAsia="Times New Roman" w:hAnsi="Times New Roman" w:cs="Arial"/>
            <w:color w:val="A67942"/>
            <w:sz w:val="26"/>
            <w:szCs w:val="21"/>
            <w:u w:val="single"/>
          </w:rPr>
          <w:t>Danh sách người lao động nghỉ việc hưởng chế độ thai sản</w:t>
        </w:r>
      </w:hyperlink>
      <w:r w:rsidRPr="001100EA">
        <w:rPr>
          <w:rFonts w:ascii="Times New Roman" w:eastAsia="Times New Roman" w:hAnsi="Times New Roman" w:cs="Arial"/>
          <w:color w:val="222222"/>
          <w:sz w:val="26"/>
          <w:szCs w:val="21"/>
        </w:rPr>
        <w:t>) nộp cho cơ quan BHXH.</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b/>
          <w:bCs/>
          <w:color w:val="222222"/>
          <w:sz w:val="26"/>
          <w:szCs w:val="21"/>
        </w:rPr>
        <w:t>Bước 3: Cơ quan BHXH giải quyết hồ sơ</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Cơ quan BHXH </w:t>
      </w:r>
      <w:hyperlink r:id="rId23" w:history="1">
        <w:r w:rsidRPr="001100EA">
          <w:rPr>
            <w:rFonts w:ascii="Times New Roman" w:eastAsia="Times New Roman" w:hAnsi="Times New Roman" w:cs="Arial"/>
            <w:color w:val="A67942"/>
            <w:sz w:val="26"/>
            <w:szCs w:val="21"/>
            <w:u w:val="single"/>
          </w:rPr>
          <w:t xml:space="preserve">chi trả tiền </w:t>
        </w:r>
        <w:proofErr w:type="gramStart"/>
        <w:r w:rsidRPr="001100EA">
          <w:rPr>
            <w:rFonts w:ascii="Times New Roman" w:eastAsia="Times New Roman" w:hAnsi="Times New Roman" w:cs="Arial"/>
            <w:color w:val="A67942"/>
            <w:sz w:val="26"/>
            <w:szCs w:val="21"/>
            <w:u w:val="single"/>
          </w:rPr>
          <w:t>thai</w:t>
        </w:r>
        <w:proofErr w:type="gramEnd"/>
        <w:r w:rsidRPr="001100EA">
          <w:rPr>
            <w:rFonts w:ascii="Times New Roman" w:eastAsia="Times New Roman" w:hAnsi="Times New Roman" w:cs="Arial"/>
            <w:color w:val="A67942"/>
            <w:sz w:val="26"/>
            <w:szCs w:val="21"/>
            <w:u w:val="single"/>
          </w:rPr>
          <w:t xml:space="preserve"> sản</w:t>
        </w:r>
      </w:hyperlink>
      <w:r w:rsidRPr="001100EA">
        <w:rPr>
          <w:rFonts w:ascii="Times New Roman" w:eastAsia="Times New Roman" w:hAnsi="Times New Roman" w:cs="Arial"/>
          <w:color w:val="222222"/>
          <w:sz w:val="26"/>
          <w:szCs w:val="21"/>
        </w:rPr>
        <w:t> cho người lao động trong vòng:</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- 10 ngày kể từ ngày nhận đủ hồ sơ từ người sử dụng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- 05 ngày làm việc kể từ ngày nhận đủ hồ sơ từ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thôi việc trước khi sinh, nhận con nuôi.</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Như vậy, tối đa trong 20 ngày, kể từ ngày nộp hồ sơ,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sẽ được nhận tiền thai sản.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(Điều 102 Luật Bảo hiểm xã hội 2014)</w:t>
      </w:r>
    </w:p>
    <w:p w:rsidR="001100EA" w:rsidRPr="001100EA" w:rsidRDefault="001100EA" w:rsidP="001100EA">
      <w:pPr>
        <w:shd w:val="clear" w:color="auto" w:fill="FFFFFF"/>
        <w:spacing w:after="0" w:line="360" w:lineRule="atLeast"/>
        <w:outlineLvl w:val="1"/>
        <w:rPr>
          <w:rFonts w:ascii="Times New Roman" w:eastAsia="Times New Roman" w:hAnsi="Times New Roman" w:cs="Arial"/>
          <w:b/>
          <w:bCs/>
          <w:color w:val="222222"/>
          <w:sz w:val="26"/>
          <w:szCs w:val="36"/>
        </w:rPr>
      </w:pPr>
      <w:r w:rsidRPr="001100EA">
        <w:rPr>
          <w:rFonts w:ascii="Times New Roman" w:eastAsia="Times New Roman" w:hAnsi="Times New Roman" w:cs="Arial"/>
          <w:b/>
          <w:bCs/>
          <w:color w:val="222222"/>
          <w:sz w:val="26"/>
          <w:szCs w:val="21"/>
        </w:rPr>
        <w:t>6. Nghỉ dưỡng sức sau sinh</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lastRenderedPageBreak/>
        <w:t>Đối với những lao động nữ trong 30 ngày đầu trở lại làm việc mà vẫn chưa đủ sức khỏe, pháp luật tạo điều kiện cho họ được nghỉ dưỡng sức từ 05 đến 10 ngày:</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Tối đa 10 ngày nếu sinh một lần từ hai con trở lên;</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Tối đa 07 ngày nếu sinh mổ;</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Tối đa 05 ngày với các trường hợp khác.</w:t>
      </w:r>
    </w:p>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Trong thời gian này,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được chế độ dưỡng sức, phục hồi sức khoẻ sau thai sản với mức hưởng:</w:t>
      </w:r>
    </w:p>
    <w:tbl>
      <w:tblPr>
        <w:tblW w:w="9975" w:type="dxa"/>
        <w:shd w:val="clear" w:color="auto" w:fill="FFFFFF"/>
        <w:tblCellMar>
          <w:left w:w="0" w:type="dxa"/>
          <w:right w:w="0" w:type="dxa"/>
        </w:tblCellMar>
        <w:tblLook w:val="04A0" w:firstRow="1" w:lastRow="0" w:firstColumn="1" w:lastColumn="0" w:noHBand="0" w:noVBand="1"/>
      </w:tblPr>
      <w:tblGrid>
        <w:gridCol w:w="4040"/>
        <w:gridCol w:w="515"/>
        <w:gridCol w:w="1045"/>
        <w:gridCol w:w="591"/>
        <w:gridCol w:w="3784"/>
      </w:tblGrid>
      <w:tr w:rsidR="001100EA" w:rsidRPr="001100EA" w:rsidTr="001100EA">
        <w:tc>
          <w:tcPr>
            <w:tcW w:w="307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Mức hưởng mỗi ngày</w:t>
            </w:r>
          </w:p>
        </w:tc>
        <w:tc>
          <w:tcPr>
            <w:tcW w:w="37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w:t>
            </w:r>
          </w:p>
        </w:tc>
        <w:tc>
          <w:tcPr>
            <w:tcW w:w="795"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30%</w:t>
            </w:r>
          </w:p>
        </w:tc>
        <w:tc>
          <w:tcPr>
            <w:tcW w:w="45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x</w:t>
            </w:r>
          </w:p>
        </w:tc>
        <w:tc>
          <w:tcPr>
            <w:tcW w:w="2880" w:type="dxa"/>
            <w:shd w:val="clear" w:color="auto" w:fill="FFFFFF"/>
            <w:tcMar>
              <w:top w:w="0" w:type="dxa"/>
              <w:left w:w="108" w:type="dxa"/>
              <w:bottom w:w="0" w:type="dxa"/>
              <w:right w:w="108" w:type="dxa"/>
            </w:tcMar>
            <w:hideMark/>
          </w:tcPr>
          <w:p w:rsidR="001100EA" w:rsidRPr="001100EA" w:rsidRDefault="001100EA" w:rsidP="001100EA">
            <w:pPr>
              <w:spacing w:after="0" w:line="360" w:lineRule="atLeast"/>
              <w:jc w:val="center"/>
              <w:rPr>
                <w:rFonts w:ascii="Times New Roman" w:eastAsia="Times New Roman" w:hAnsi="Times New Roman" w:cs="Arial"/>
                <w:color w:val="222222"/>
                <w:sz w:val="26"/>
                <w:szCs w:val="24"/>
              </w:rPr>
            </w:pPr>
            <w:r w:rsidRPr="001100EA">
              <w:rPr>
                <w:rFonts w:ascii="Times New Roman" w:eastAsia="Times New Roman" w:hAnsi="Times New Roman" w:cs="Arial"/>
                <w:i/>
                <w:iCs/>
                <w:color w:val="222222"/>
                <w:sz w:val="26"/>
                <w:szCs w:val="21"/>
              </w:rPr>
              <w:t>Mức lương cơ sở</w:t>
            </w:r>
          </w:p>
        </w:tc>
      </w:tr>
    </w:tbl>
    <w:p w:rsidR="001100EA" w:rsidRPr="001100EA" w:rsidRDefault="001100EA" w:rsidP="001100EA">
      <w:pPr>
        <w:shd w:val="clear" w:color="auto" w:fill="FFFFFF"/>
        <w:spacing w:after="0" w:line="360" w:lineRule="atLeast"/>
        <w:rPr>
          <w:rFonts w:ascii="Times New Roman" w:eastAsia="Times New Roman" w:hAnsi="Times New Roman" w:cs="Arial"/>
          <w:color w:val="222222"/>
          <w:sz w:val="26"/>
          <w:szCs w:val="24"/>
        </w:rPr>
      </w:pPr>
      <w:r w:rsidRPr="001100EA">
        <w:rPr>
          <w:rFonts w:ascii="Times New Roman" w:eastAsia="Times New Roman" w:hAnsi="Times New Roman" w:cs="Arial"/>
          <w:color w:val="222222"/>
          <w:sz w:val="26"/>
          <w:szCs w:val="21"/>
        </w:rPr>
        <w:t xml:space="preserve">Với các quy định nêu trên, có thể thấy, pháp luật tạo điều kiện tối đa cho người </w:t>
      </w:r>
      <w:proofErr w:type="gramStart"/>
      <w:r w:rsidRPr="001100EA">
        <w:rPr>
          <w:rFonts w:ascii="Times New Roman" w:eastAsia="Times New Roman" w:hAnsi="Times New Roman" w:cs="Arial"/>
          <w:color w:val="222222"/>
          <w:sz w:val="26"/>
          <w:szCs w:val="21"/>
        </w:rPr>
        <w:t>lao</w:t>
      </w:r>
      <w:proofErr w:type="gramEnd"/>
      <w:r w:rsidRPr="001100EA">
        <w:rPr>
          <w:rFonts w:ascii="Times New Roman" w:eastAsia="Times New Roman" w:hAnsi="Times New Roman" w:cs="Arial"/>
          <w:color w:val="222222"/>
          <w:sz w:val="26"/>
          <w:szCs w:val="21"/>
        </w:rPr>
        <w:t xml:space="preserve"> động thực hiện tốt nhất thiên chức của mình. </w:t>
      </w:r>
      <w:proofErr w:type="gramStart"/>
      <w:r w:rsidRPr="001100EA">
        <w:rPr>
          <w:rFonts w:ascii="Times New Roman" w:eastAsia="Times New Roman" w:hAnsi="Times New Roman" w:cs="Arial"/>
          <w:color w:val="222222"/>
          <w:sz w:val="26"/>
          <w:szCs w:val="21"/>
        </w:rPr>
        <w:t>Chính vì vậy, các cặp vợ chồng đang có kế hoạch sinh con không nên bỏ qua những thông tin này.</w:t>
      </w:r>
      <w:proofErr w:type="gramEnd"/>
    </w:p>
    <w:p w:rsidR="009F78A3" w:rsidRPr="001100EA" w:rsidRDefault="009F78A3">
      <w:pPr>
        <w:rPr>
          <w:rFonts w:ascii="Times New Roman" w:hAnsi="Times New Roman"/>
          <w:sz w:val="26"/>
        </w:rPr>
      </w:pPr>
    </w:p>
    <w:sectPr w:rsidR="009F78A3" w:rsidRPr="00110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04B80"/>
    <w:multiLevelType w:val="multilevel"/>
    <w:tmpl w:val="50E4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EA"/>
    <w:rsid w:val="001100EA"/>
    <w:rsid w:val="009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67601">
      <w:bodyDiv w:val="1"/>
      <w:marLeft w:val="0"/>
      <w:marRight w:val="0"/>
      <w:marTop w:val="0"/>
      <w:marBottom w:val="0"/>
      <w:divBdr>
        <w:top w:val="none" w:sz="0" w:space="0" w:color="auto"/>
        <w:left w:val="none" w:sz="0" w:space="0" w:color="auto"/>
        <w:bottom w:val="none" w:sz="0" w:space="0" w:color="auto"/>
        <w:right w:val="none" w:sz="0" w:space="0" w:color="auto"/>
      </w:divBdr>
      <w:divsChild>
        <w:div w:id="1824081356">
          <w:marLeft w:val="0"/>
          <w:marRight w:val="0"/>
          <w:marTop w:val="0"/>
          <w:marBottom w:val="0"/>
          <w:divBdr>
            <w:top w:val="none" w:sz="0" w:space="0" w:color="auto"/>
            <w:left w:val="none" w:sz="0" w:space="0" w:color="auto"/>
            <w:bottom w:val="none" w:sz="0" w:space="0" w:color="auto"/>
            <w:right w:val="none" w:sz="0" w:space="0" w:color="auto"/>
          </w:divBdr>
          <w:divsChild>
            <w:div w:id="1353997531">
              <w:marLeft w:val="0"/>
              <w:marRight w:val="0"/>
              <w:marTop w:val="150"/>
              <w:marBottom w:val="150"/>
              <w:divBdr>
                <w:top w:val="none" w:sz="0" w:space="0" w:color="auto"/>
                <w:left w:val="none" w:sz="0" w:space="0" w:color="auto"/>
                <w:bottom w:val="none" w:sz="0" w:space="0" w:color="auto"/>
                <w:right w:val="none" w:sz="0" w:space="0" w:color="auto"/>
              </w:divBdr>
              <w:divsChild>
                <w:div w:id="1124885930">
                  <w:marLeft w:val="0"/>
                  <w:marRight w:val="0"/>
                  <w:marTop w:val="0"/>
                  <w:marBottom w:val="0"/>
                  <w:divBdr>
                    <w:top w:val="none" w:sz="0" w:space="0" w:color="auto"/>
                    <w:left w:val="none" w:sz="0" w:space="0" w:color="auto"/>
                    <w:bottom w:val="none" w:sz="0" w:space="0" w:color="auto"/>
                    <w:right w:val="none" w:sz="0" w:space="0" w:color="auto"/>
                  </w:divBdr>
                  <w:divsChild>
                    <w:div w:id="1908803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9831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bieu-mau/mau-to-khai-tk1-ts-571-20049-article.html" TargetMode="External"/><Relationship Id="rId13" Type="http://schemas.openxmlformats.org/officeDocument/2006/relationships/hyperlink" Target="https://luatvietnam.vn/bao-hiem/che-do-thai-san-cho-chong-563-19314-article.html" TargetMode="External"/><Relationship Id="rId18" Type="http://schemas.openxmlformats.org/officeDocument/2006/relationships/hyperlink" Target="https://luatvietnam.vn/bao-hiem/quyet-dinh-636-qd-bhxh-bao-hiem-xa-hoi-viet-nam-105565-d1.html" TargetMode="External"/><Relationship Id="rId3" Type="http://schemas.microsoft.com/office/2007/relationships/stylesWithEffects" Target="stylesWithEffects.xml"/><Relationship Id="rId21" Type="http://schemas.openxmlformats.org/officeDocument/2006/relationships/hyperlink" Target="https://luatvietnam.vn/tin-phap-luat/da-nghi-viec-co-duoc-huong-che-do-thai-san-230-17445-article.html" TargetMode="External"/><Relationship Id="rId7" Type="http://schemas.openxmlformats.org/officeDocument/2006/relationships/hyperlink" Target="https://luatvietnam.vn/bao-hiem/luat-bao-hiem-xa-hoi-2014-91349-d1.html" TargetMode="External"/><Relationship Id="rId12" Type="http://schemas.openxmlformats.org/officeDocument/2006/relationships/hyperlink" Target="https://luatvietnam.vn/tin-phap-luat/huong-dan-tinh-tien-thai-san-2019-230-18449-article.html" TargetMode="External"/><Relationship Id="rId17" Type="http://schemas.openxmlformats.org/officeDocument/2006/relationships/hyperlink" Target="https://luatvietnam.vn/bao-hiem/thong-tu-59-2015-tt-bldtbxh-bo-lao-dong-thuong-binh-va-xa-hoi-101834-d1.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uatvietnam.vn/tin-phap-luat/che-do-thai-san-cua-lao-dong-nu-sinh-doi-co-gi-dac-biet-230-18530-article.html" TargetMode="External"/><Relationship Id="rId20" Type="http://schemas.openxmlformats.org/officeDocument/2006/relationships/hyperlink" Target="https://luatvietnam.vn/tin-phap-luat/che-do-thai-san-doi-voi-nguoi-nhan-con-nuoi-230-17704-article.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uatvietnam.vn/tin-phap-luat/nam-2019-thoi-gian-nghi-thai-san-toi-da-bao-lau-230-18882-articl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uatvietnam.vn/tin-phap-luat/lao-dong-nu-sinh-mo-duoc-huong-nhung-quyen-loi-gi-230-17501-article.html" TargetMode="External"/><Relationship Id="rId23" Type="http://schemas.openxmlformats.org/officeDocument/2006/relationships/hyperlink" Target="https://luatvietnam.vn/tin-phap-luat/khi-nao-duoc-nhan-tien-thai-san-2018-230-17211-article.html" TargetMode="External"/><Relationship Id="rId10" Type="http://schemas.openxmlformats.org/officeDocument/2006/relationships/hyperlink" Target="https://luatvietnam.vn/tin-phap-luat/dong-bhxh-6-thang-lien-tuc-moi-duoc-huong-che-do-thai-san-230-18610-article.html" TargetMode="External"/><Relationship Id="rId19" Type="http://schemas.openxmlformats.org/officeDocument/2006/relationships/hyperlink" Target="https://luatvietnam.vn/tin-phap-luat/nhung-benh-vien-duoc-cap-giay-chung-nhan-nghi-duong-thai-230-17155-article.html" TargetMode="External"/><Relationship Id="rId4" Type="http://schemas.openxmlformats.org/officeDocument/2006/relationships/settings" Target="settings.xml"/><Relationship Id="rId9" Type="http://schemas.openxmlformats.org/officeDocument/2006/relationships/hyperlink" Target="https://luatvietnam.vn/tin-phap-luat/che-do-thai-san-cho-nguoi-mang-thai-ho-moi-nhat-230-18769-article.html" TargetMode="External"/><Relationship Id="rId14" Type="http://schemas.openxmlformats.org/officeDocument/2006/relationships/hyperlink" Target="https://luatvietnam.vn/bao-hiem/che-do-bao-hiem-khi-sinh-563-19493-article.html" TargetMode="External"/><Relationship Id="rId22" Type="http://schemas.openxmlformats.org/officeDocument/2006/relationships/hyperlink" Target="https://cms.luatvietnam.vn/uploaded/Others/2019/04/05/MAU_(C70a,b-HD)_050411340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2019-08-30T13:10:00Z</dcterms:created>
  <dcterms:modified xsi:type="dcterms:W3CDTF">2019-08-30T13:17:00Z</dcterms:modified>
</cp:coreProperties>
</file>